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leiocalyx</w:t>
      </w:r>
      <w:r>
        <w:t xml:space="preserve"> (Domin)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2:351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164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leiocalyx</w:t>
      </w:r>
      <w:proofErr w:type="spellEnd"/>
      <w:r>
        <w:t xml:space="preserve"> (Domin) Pedley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glaucescens</w:t>
      </w:r>
      <w:r>
        <w:t xml:space="preserve"> var.</w:t>
      </w:r>
      <w:r w:rsidRPr="00815E7D">
        <w:rPr>
          <w:i/>
        </w:rPr>
        <w:t xml:space="preserve"> leiocalyx</w:t>
      </w:r>
      <w:r>
        <w:t xml:space="preserve"> Domin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