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cyperophylla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curranii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the Leichhardt paralectotype, fide L. Pedley, Austrobaileya 1: 127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