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ulacocarp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McDonald &amp;amp; Maslin (2000: 2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lacocarp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ulacocarp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