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randelliana</w:t>
      </w:r>
      <w:r>
        <w:t xml:space="preserve"> W.Fitzg.</w:t>
      </w:r>
      <w:r w:rsidR="00780DEE" w:rsidRPr="00780DEE">
        <w:rPr>
          <w:i/>
        </w:rPr>
        <w:t xml:space="preserve"> J. Western Australia Nat. Hist. Soc.</w:t>
      </w:r>
      <w:proofErr w:type="spellStart"/>
      <w:r w:rsidR="00780DEE">
        <w:t xml:space="preserve"> 1:14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burkittii</w:t>
      </w:r>
      <w:proofErr w:type="spellEnd"/>
      <w:r>
        <w:t xml:space="preserve"> F.Muell.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 Cowan 1994: 392): Mt Malcolm, W.A., July 1899, W.V.Fitzgerald s.n. [flowering specimen] (NSW); isolectotype: PERTH. Remaining syntype: 12 miles [19.2 km] NE of Kanowna, W.A., Nov. 1903, W.V.Fitzgerald s.n. [fruiting specimen] (NSW, PERTH)</w:t>
      </w:r>
      <w:proofErr w:type="spellEnd"/>
      <w:r w:rsidRPr="009A6983">
        <w:rPr>
          <w:b/>
        </w:rPr>
        <w:t xml:space="preserve"> Source:</w:t>
      </w:r>
      <w:r>
        <w:t xml:space="preserve"> WorldWideWattle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