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aroma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huarango</w:t>
      </w:r>
      <w:proofErr w:type="spellEnd"/>
      <w:r>
        <w:t xml:space="preserve"> (Ruiz ex J.Macbr) Ebinger, Seigler &amp; H.D.Clarke</w:t>
      </w:r>
      <w:r w:rsidR="00780DEE" w:rsidRPr="00780DEE">
        <w:rPr>
          <w:i/>
        </w:rPr>
        <w:t xml:space="preserve"> Syst. Bot.</w:t>
      </w:r>
      <w:proofErr w:type="spellStart"/>
      <w:r w:rsidR="00780DEE">
        <w:t xml:space="preserve"> 25:602</w:t>
      </w:r>
      <w:proofErr w:type="spellEnd"/>
      <w:r w:rsidR="00780DEE">
        <w:t xml:space="preserve"> (2000)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144)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aroma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huarango</w:t>
      </w:r>
      <w:proofErr w:type="spellEnd"/>
      <w:r>
        <w:t xml:space="preserve"> (Ruiz ex J.Macbr.)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huarango</w:t>
      </w:r>
      <w:r>
        <w:t xml:space="preserve"> Ruiz ex J.Macbr.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