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zapatensis</w:t>
      </w:r>
      <w:r>
        <w:t xml:space="preserve"> (Urb. &amp; Ekman)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87(3):170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zapatensis</w:t>
      </w:r>
      <w:r>
        <w:t xml:space="preserve"> Urb. &amp; Ekman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zapatensis</w:t>
      </w:r>
      <w:r>
        <w:t xml:space="preserve"> Urb. &amp; Ekman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zapatensis</w:t>
      </w:r>
      <w:r>
        <w:t xml:space="preserve"> Urb. &amp; Ekman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zapatensis</w:t>
      </w:r>
      <w:proofErr w:type="spellEnd"/>
      <w:r>
        <w:t xml:space="preserve"> (Urb. &amp; Ekman)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Matanzas Province: Zapata Peninsula, in shrub forest toward Bahía de Cochinos, in open places on limestone, 31 Jan. 1924, E.L. Ekman 18358 (B - destroyed?); isotypes: BM, G, NY, S</w:t>
      </w:r>
      <w:proofErr w:type="spellEnd"/>
      <w:r w:rsidRPr="009A6983">
        <w:rPr>
          <w:b/>
        </w:rPr>
        <w:t xml:space="preserve"> Source:</w:t>
      </w:r>
      <w:r>
        <w:t xml:space="preserve"> Clarke et al. (2009: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