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dependens</w:t>
      </w:r>
      <w:r>
        <w:t xml:space="preserve"> A.Cunn. ex Benth.</w:t>
      </w:r>
      <w:r w:rsidR="00780DEE" w:rsidRPr="00780DEE">
        <w:rPr>
          <w:i/>
        </w:rPr>
        <w:t xml:space="preserve"> in W.J.Hooker, London J. Bot.</w:t>
      </w:r>
      <w:proofErr w:type="spellStart"/>
      <w:r w:rsidR="00780DEE">
        <w:t xml:space="preserve"> 1:372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(Hook.f.)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Van Diemen’s Land [Tas.], without date, A. Cunningham s.n. (n.v.). (2) Van Diemen’s Land [Tas.], R. Gunn 202, 480, 678 (HO, n.v.)</w:t>
      </w:r>
      <w:proofErr w:type="spellEnd"/>
      <w:r w:rsidRPr="009A6983">
        <w:rPr>
          <w:b/>
        </w:rPr>
        <w:t xml:space="preserve"> Source:</w:t>
      </w:r>
      <w:r>
        <w:t xml:space="preserve"> Fl. Australia 11B: 374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Dennh.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