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alpina</w:t>
      </w:r>
      <w:proofErr w:type="spellEnd"/>
      <w:r>
        <w:t xml:space="preserve"> (F.Muell.) F.Muell.</w:t>
      </w:r>
      <w:r w:rsidR="00780DEE" w:rsidRPr="00780DEE">
        <w:rPr>
          <w:i/>
        </w:rPr>
        <w:t xml:space="preserve"> Pl. Victoria</w:t>
      </w:r>
      <w:proofErr w:type="spellStart"/>
      <w:r w:rsidR="00780DEE">
        <w:t xml:space="preserve"> 2:31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invalid.   Source. Fl. Australia 11B: 371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alpina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inval. (not effectively published, fide A.B.Court et al., Nuytsia 9: 315-318, 1994).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alpina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