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tetragonocarpa</w:t>
      </w:r>
      <w:proofErr w:type="spellStart"/>
      <w:r w:rsidRPr="007C1DDC">
        <w:rPr>
          <w:b/>
        </w:rPr>
        <w:t xml:space="preserve"> f.</w:t>
      </w:r>
      <w:proofErr w:type="spellEnd"/>
      <w:proofErr w:type="spellStart"/>
      <w:r w:rsidRPr="007C1DDC">
        <w:rPr>
          <w:b/>
          <w:i/>
        </w:rPr>
        <w:t xml:space="preserve"> scabra</w:t>
      </w:r>
      <w:proofErr w:type="spellEnd"/>
      <w:r>
        <w:t xml:space="preserve"> (Benth.) E.Pritz.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35:292</w:t>
      </w:r>
      <w:proofErr w:type="spellEnd"/>
      <w:r w:rsidR="00780DEE">
        <w:t xml:space="preserve"> (1904)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524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aemula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muricata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tetragonocarpa</w:t>
      </w:r>
      <w:r>
        <w:t xml:space="preserve"> var.</w:t>
      </w:r>
      <w:r w:rsidRPr="00815E7D">
        <w:rPr>
          <w:i/>
        </w:rPr>
        <w:t xml:space="preserve"> scabra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