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emignost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emignost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emignost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