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eremea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53:206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115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cana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Milparinka, N.S.W., Sept. 1906, C.G. Ivey (NSW [Aug. 1905 written over Sept. 1906 on label]);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115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C.R.P.Andrews, J. W. Austral. Nat. Hist. Soc. 1: 40 (1904).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