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pendula</w:t>
      </w:r>
      <w:proofErr w:type="spellEnd"/>
      <w:r>
        <w:t xml:space="preserve">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1846:42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“Ob in Garten erzeugt oder auch im Vaterlande versomme ist mir unbesannt”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n.v.</w:t>
      </w:r>
      <w:proofErr w:type="spellEnd"/>
      <w:r w:rsidRPr="009A6983">
        <w:rPr>
          <w:b/>
        </w:rPr>
        <w:t xml:space="preserve"> Source:</w:t>
      </w:r>
      <w:r>
        <w:t xml:space="preserve"> Maslin &amp; Murphy (2009: 216)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