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emarginata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:4, 27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Herrenhausen botanic garden [near Hanover] (GOET)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