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oviedoensis</w:t>
      </w:r>
      <w:r>
        <w:t xml:space="preserve"> (R.Garcia &amp; M.M.Mejía)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87(3):163</w:t>
      </w:r>
      <w:proofErr w:type="spellEnd"/>
      <w:r w:rsidR="00780DEE">
        <w:t xml:space="preserve"> (2005)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CARIBBEAN [N]: Dominican Republic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oviedoensis</w:t>
      </w:r>
      <w:r>
        <w:t xml:space="preserve"> R.G.García &amp; M.M.Mejía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oviedoensis</w:t>
      </w:r>
      <w:r>
        <w:t xml:space="preserve"> R.G.García &amp; M.M.Mejía</w:t>
      </w:r>
      <w:r>
        <w:t xml:space="preserve"> (2000)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oviedoensis</w:t>
      </w:r>
      <w:r>
        <w:t xml:space="preserve"> R.G.García &amp; M.M.Mejía</w:t>
      </w:r>
      <w:r w:rsidR="00780DEE" w:rsidRPr="00780DEE">
        <w:rPr>
          <w:i/>
        </w:rPr>
        <w:t xml:space="preserve"> Moscosoa</w:t>
      </w:r>
      <w:proofErr w:type="spellStart"/>
      <w:r w:rsidR="00780DEE">
        <w:t xml:space="preserve"> 11:7</w:t>
      </w:r>
      <w:proofErr w:type="spellEnd"/>
      <w:r w:rsidR="00780DEE">
        <w:t xml:space="preserve"> (2000)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Clarke et al. (2009: 97)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oviedoensis</w:t>
      </w:r>
      <w:proofErr w:type="spellEnd"/>
      <w:r>
        <w:t xml:space="preserve"> (R.Garcia &amp; M.M.Mejía)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Dominican Republic. Provincia Pedernales: 22 km al W de Oviedo, El Papayo, lado Sur de la Carretera Oviedo-Pedernales. Bosque seco sobre roca caliza con Guaiacum, Senna, Opuntia, Harrisia, &amp; Reynosia, 13 May 1997, R. García &amp; R. Pujols 6543 (JBSD); isotypes: B, F, MAPR, MO, NY, S</w:t>
      </w:r>
      <w:proofErr w:type="spellEnd"/>
      <w:r w:rsidRPr="009A6983">
        <w:rPr>
          <w:b/>
        </w:rPr>
        <w:t xml:space="preserve"> Source:</w:t>
      </w:r>
      <w:r>
        <w:t xml:space="preserve"> Clarke et al. (2009: 97)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