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semperflorens</w:t>
      </w:r>
      <w:r>
        <w:t xml:space="preserve"> hort. ex A.Berger</w:t>
      </w:r>
      <w:r w:rsidR="00780DEE" w:rsidRPr="00780DEE">
        <w:rPr>
          <w:i/>
        </w:rPr>
        <w:t xml:space="preserve"> Hort. Mortol.</w:t>
      </w:r>
      <w:proofErr w:type="spellStart"/>
      <w:r w:rsidR="00780DEE">
        <w:t xml:space="preserve"> :7</w:t>
      </w:r>
      <w:proofErr w:type="spellEnd"/>
      <w:r w:rsidR="00780DEE">
        <w:t xml:space="preserve"> (1912)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O'Leary (2007: 103)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provincialis</w:t>
      </w:r>
      <w:proofErr w:type="spellEnd"/>
      <w:r>
        <w:t xml:space="preserve"> A.Camus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Pro syn. sub Acacia retinodes.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