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westonii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54:227</w:t>
      </w:r>
      <w:proofErr w:type="spellEnd"/>
      <w:r w:rsidR="00780DEE">
        <w:t xml:space="preserve"> (1921)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297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pycnantha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Mt Jerrambomberra, Queanbeyan, N.S.W., Aug. 1917, C. Weston (NSW). (2) Mt Jerrambomberra, N.S.W., Mar. 1917, C. Weston (NSW)</w:t>
      </w:r>
      <w:proofErr w:type="spellEnd"/>
      <w:r w:rsidRPr="009A6983">
        <w:rPr>
          <w:b/>
        </w:rPr>
        <w:t xml:space="preserve"> Source:</w:t>
      </w:r>
      <w:r>
        <w:t xml:space="preserve"> Fl. Australia 11A: 297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'Westoni'.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