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pycnantha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petiolaris</w:t>
      </w:r>
      <w:proofErr w:type="spellEnd"/>
      <w:r>
        <w:t xml:space="preserve"> H.Vilm.</w:t>
      </w:r>
      <w:r w:rsidR="00780DEE" w:rsidRPr="00780DEE">
        <w:rPr>
          <w:i/>
        </w:rPr>
        <w:t xml:space="preserve"> J. Roy. Hort. Soc., ser. 2</w:t>
      </w:r>
      <w:proofErr w:type="spellStart"/>
      <w:r w:rsidR="00780DEE">
        <w:t xml:space="preserve"> 16:85</w:t>
      </w:r>
      <w:proofErr w:type="spellEnd"/>
      <w:r w:rsidR="00780DEE">
        <w:t xml:space="preserve"> (1893)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11A: 297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pycnantha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Benth.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It is assumed  that this name is based on A. petiolaris.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petiolaris</w:t>
      </w:r>
      <w:r>
        <w:t xml:space="preserve"> Lehm.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