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notabilis</w:t>
      </w:r>
      <w:r>
        <w:t xml:space="preserve"> sens. Chippend.</w:t>
      </w:r>
      <w:r w:rsidR="00780DEE" w:rsidRPr="00780DEE">
        <w:rPr>
          <w:i/>
        </w:rPr>
        <w:t xml:space="preserve"> Trans. Roy. Soc. S. Australia</w:t>
      </w:r>
      <w:proofErr w:type="spellStart"/>
      <w:r w:rsidR="00780DEE">
        <w:t xml:space="preserve"> 81:38</w:t>
      </w:r>
      <w:proofErr w:type="spellEnd"/>
      <w:r w:rsidR="00780DEE">
        <w:t xml:space="preserve"> (1958)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Fl. Australia 11A: 362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pruinocarpa</w:t>
      </w:r>
      <w:proofErr w:type="spellEnd"/>
      <w:r>
        <w:t xml:space="preserve"> Tindale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