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dentifera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parvifolia</w:t>
      </w:r>
      <w:proofErr w:type="spellEnd"/>
      <w:r>
        <w:t xml:space="preserve"> S.Moore</w:t>
      </w:r>
      <w:r w:rsidR="00780DEE" w:rsidRPr="00780DEE">
        <w:rPr>
          <w:i/>
        </w:rPr>
        <w:t xml:space="preserve"> J. Linn. Soc., Bot.</w:t>
      </w:r>
      <w:proofErr w:type="spellStart"/>
      <w:r w:rsidR="00780DEE">
        <w:t xml:space="preserve"> 45:174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391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prainii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Maslin, J. Adelaide Bot. Gard. 2: 317, 1980): Bruce Rock, W.A., F. Stoward 333 (BM); isolectotype: PERTH. Remaining syntype: Mount Marshall, W.A., F. Stoward 451 (BM)</w:t>
      </w:r>
      <w:proofErr w:type="spellEnd"/>
      <w:r w:rsidRPr="009A6983">
        <w:rPr>
          <w:b/>
        </w:rPr>
        <w:t xml:space="preserve"> Source:</w:t>
      </w:r>
      <w:r>
        <w:t xml:space="preserve"> Fl. Australia 11A: 391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