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sieberiana</w:t>
      </w:r>
      <w:r>
        <w:t xml:space="preserve"> Le Tennier</w:t>
      </w:r>
      <w:r w:rsidR="00780DEE" w:rsidRPr="00780DEE">
        <w:rPr>
          <w:i/>
        </w:rPr>
        <w:t xml:space="preserve"> See A. siebertiana L.Winter ex A.Berger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11A: 330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podalyriifolia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Orthographic variant of  A. siebertiana L.Winter ex A.Berger.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