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hanburyana</w:t>
      </w:r>
      <w:r>
        <w:t xml:space="preserve"> L.Winter ex A.Berger</w:t>
      </w:r>
      <w:r w:rsidR="00780DEE" w:rsidRPr="00780DEE">
        <w:rPr>
          <w:i/>
        </w:rPr>
        <w:t xml:space="preserve"> Gartenwelt</w:t>
      </w:r>
      <w:proofErr w:type="spellStart"/>
      <w:r w:rsidR="00780DEE">
        <w:t xml:space="preserve"> 14:111</w:t>
      </w:r>
      <w:proofErr w:type="spellEnd"/>
      <w:r w:rsidR="00780DEE">
        <w:t xml:space="preserve"> (1910)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330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podalyriifolia</w:t>
      </w:r>
      <w:proofErr w:type="spellEnd"/>
      <w:r>
        <w:t xml:space="preserve"> A.Cunn. ex G.Don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11A: 330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 garden hybrid involving A. podalyriifolia and A. dealbata; see also G.Vagliasindi, Rev. Hort. Belge Etrangere 37(3): 206, pl. (1911) &amp; Bull. R. Soc. Toscana Ort. 37(7): 220 (1911); Le Tennier, Le Jardin No. 604: 122 (1912).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