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armata</w:t>
      </w:r>
      <w:r>
        <w:t xml:space="preserve"> (R.Br.) Mart.</w:t>
      </w:r>
      <w:r w:rsidR="00780DEE" w:rsidRPr="00780DEE">
        <w:rPr>
          <w:i/>
        </w:rPr>
        <w:t xml:space="preserve"> Hort. Reg. Monac. Semin.</w:t>
      </w:r>
      <w:proofErr w:type="spellStart"/>
      <w:r w:rsidR="00780DEE">
        <w:t xml:space="preserve"> :</w:t>
      </w:r>
      <w:proofErr w:type="spellEnd"/>
      <w:r w:rsidR="00780DEE">
        <w:t xml:space="preserve"> (1835)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invalid (Combination not actually made).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armata</w:t>
      </w:r>
      <w:r>
        <w:t xml:space="preserve"> R.Br.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