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microcantha</w:t>
      </w:r>
      <w:r>
        <w:t xml:space="preserve"> A.Dietr.</w:t>
      </w:r>
      <w:r w:rsidR="00780DEE" w:rsidRPr="00780DEE">
        <w:rPr>
          <w:i/>
        </w:rPr>
        <w:t xml:space="preserve"> Allg. Gartenzeitung</w:t>
      </w:r>
      <w:proofErr w:type="spellStart"/>
      <w:r w:rsidR="00780DEE">
        <w:t xml:space="preserve"> 1:83</w:t>
      </w:r>
      <w:proofErr w:type="spellEnd"/>
      <w:r w:rsidR="00780DEE">
        <w:t xml:space="preserve"> (1833)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Based on a cultivated plant; ?isotype: HBG</w:t>
      </w:r>
      <w:proofErr w:type="spellEnd"/>
      <w:r w:rsidRPr="009A6983">
        <w:rPr>
          <w:b/>
        </w:rPr>
        <w:t xml:space="preserve"> Source:</w:t>
      </w:r>
      <w:r>
        <w:t xml:space="preserve"> Fl. Australia 11A: 594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non Desv. (1814). This entity possibly represents a hybrid between Acacia dodonaeifolia and A. paradoxa (fide B.R. Maslin, Fl. Australia 11A: 594, 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