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microcantha</w:t>
      </w:r>
      <w:r>
        <w:t xml:space="preserve"> A.Dietr.</w:t>
      </w:r>
      <w:r w:rsidR="00780DEE" w:rsidRPr="00780DEE">
        <w:rPr>
          <w:i/>
        </w:rPr>
        <w:t xml:space="preserve"> Allg. Gartenzeitung</w:t>
      </w:r>
      <w:proofErr w:type="spellStart"/>
      <w:r w:rsidR="00780DEE">
        <w:t xml:space="preserve"> 1:83</w:t>
      </w:r>
      <w:proofErr w:type="spellEnd"/>
      <w:r w:rsidR="00780DEE">
        <w:t xml:space="preserve"> (1833)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nom. illeg. (homonym)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paradoxa</w:t>
      </w:r>
      <w:proofErr w:type="spellEnd"/>
      <w:r>
        <w:t xml:space="preserve"> DC.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Based on a cultivated plant; ?isotype: HBG</w:t>
      </w:r>
      <w:proofErr w:type="spellEnd"/>
      <w:r w:rsidRPr="009A6983">
        <w:rPr>
          <w:b/>
        </w:rPr>
        <w:t xml:space="preserve"> Source:</w:t>
      </w:r>
      <w:r>
        <w:t xml:space="preserve"> Fl. Australia 11A: 594 (2001)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Nom. illeg. non Desv. (1814). This entity possibly represents a hybrid between Acacia dodonaeifolia and A. paradoxa (fide B.R. Maslin, Fl. Australia 11A: 594, 2001).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