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hybrida</w:t>
      </w:r>
      <w:r>
        <w:t xml:space="preserve"> G.Lodd. ex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1:328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(superfluous)   Source. Fl. Australia 11A: 594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paradoxa</w:t>
      </w:r>
      <w:proofErr w:type="spellEnd"/>
      <w:r>
        <w:t xml:space="preserve"> DC.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 superfl., based on A. microcantha A.Dietr.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