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bartheriana</w:t>
      </w:r>
      <w:r>
        <w:t xml:space="preserve"> hort. ex Jacques</w:t>
      </w:r>
      <w:r w:rsidR="00780DEE" w:rsidRPr="00780DEE">
        <w:rPr>
          <w:i/>
        </w:rPr>
        <w:t xml:space="preserve"> Ann. Fl. Pomone</w:t>
      </w:r>
      <w:proofErr w:type="spellStart"/>
      <w:r w:rsidR="00780DEE">
        <w:t xml:space="preserve"> 1837-1838:5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plants in Fromont garden, England, and of numerous horticulturalists in Paris; n.v.</w:t>
      </w:r>
      <w:proofErr w:type="spellEnd"/>
      <w:r w:rsidRPr="009A6983">
        <w:rPr>
          <w:b/>
        </w:rPr>
        <w:t xml:space="preserve"> Source:</w:t>
      </w:r>
      <w:r>
        <w:t xml:space="preserve"> Fl. Australia 11A: 594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entity possibly represents a hybrid between Acacia dodonaeifolia and A. paradoxa (fide B.R. Maslin, Fl. Australia 11A: 594, 2001).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