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 elegans</w:t>
      </w:r>
      <w:r>
        <w:t xml:space="preserve"> hort. ex Jacques</w:t>
      </w:r>
      <w:r w:rsidR="00780DEE" w:rsidRPr="00780DEE">
        <w:rPr>
          <w:i/>
        </w:rPr>
        <w:t xml:space="preserve"> Ann. Fl. Pomone</w:t>
      </w:r>
      <w:proofErr w:type="spellStart"/>
      <w:r w:rsidR="00780DEE">
        <w:t xml:space="preserve"> 1843-1844:109</w:t>
      </w:r>
      <w:proofErr w:type="spellEnd"/>
      <w:r w:rsidR="00780DEE">
        <w:t xml:space="preserve"> (Jan. 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in 1843 by M.Martine, Paris; n.v.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name was also published by Jacques in Hort. Universel 5: 290 (1844). This name was treated as inoperative in Fl. Australia 11A: 593 (2001).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