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longipedunculata</w:t>
      </w:r>
      <w:proofErr w:type="spellEnd"/>
      <w:r>
        <w:t xml:space="preserve"> Regel</w:t>
      </w:r>
      <w:r w:rsidR="00780DEE" w:rsidRPr="00780DEE">
        <w:rPr>
          <w:i/>
        </w:rPr>
        <w:t xml:space="preserve"> Index Sem. Hort. Petrop.</w:t>
      </w:r>
      <w:proofErr w:type="spellStart"/>
      <w:r w:rsidR="00780DEE">
        <w:t xml:space="preserve"> :53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cultivated, seed from S.A. supplied by F.J.H. von Mueller; n.v.</w:t>
      </w:r>
      <w:proofErr w:type="spellEnd"/>
      <w:r w:rsidRPr="009A6983">
        <w:rPr>
          <w:b/>
        </w:rPr>
        <w:t xml:space="preserve"> Source:</w:t>
      </w:r>
      <w:r>
        <w:t xml:space="preserve"> Fl. Australia 11A: 593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Described as 'A. armata R.Br. E. longipedunculata'.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