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angustata</w:t>
      </w:r>
      <w:proofErr w:type="spellEnd"/>
      <w:r>
        <w:t xml:space="preserve"> F.M.Bailey</w:t>
      </w:r>
      <w:r w:rsidR="00780DEE" w:rsidRPr="00780DEE">
        <w:rPr>
          <w:i/>
        </w:rPr>
        <w:t xml:space="preserve"> Syn. Queensland Fl.</w:t>
      </w:r>
      <w:proofErr w:type="spellStart"/>
      <w:r w:rsidR="00780DEE">
        <w:t xml:space="preserve"> :136</w:t>
      </w:r>
      <w:proofErr w:type="spellEnd"/>
      <w:r w:rsidR="00780DEE">
        <w:t xml:space="preserve"> (1883)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'Highfields, Main Range', [Qld]; n.v</w:t>
      </w:r>
      <w:proofErr w:type="spellEnd"/>
      <w:r w:rsidRPr="009A6983">
        <w:rPr>
          <w:b/>
        </w:rPr>
        <w:t xml:space="preserve"> Source:</w:t>
      </w:r>
      <w:r>
        <w:t xml:space="preserve"> Fl. Australia 11A: 311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probably the Toowoomba-Crows Nest variant of A. neriifolia (Pedley, 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