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triquetra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2:354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293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meisneri</w:t>
      </w:r>
      <w:proofErr w:type="spellEnd"/>
      <w:r>
        <w:t xml:space="preserve"> Lehm. ex Meisn.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J. Drummond 109 and 292.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