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undulifolia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humilis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348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hubbardiana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the Mueller and Leichhardt syntypes, fide L. Pedley, Austrobaileya 1: 237 (1980).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