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cordifolia</w:t>
      </w:r>
      <w:r>
        <w:t xml:space="preserve"> R.Br. ex Lémon</w:t>
      </w:r>
      <w:r w:rsidR="00780DEE" w:rsidRPr="00780DEE">
        <w:rPr>
          <w:i/>
        </w:rPr>
        <w:t xml:space="preserve"> Ann. Fl. Pomone</w:t>
      </w:r>
      <w:proofErr w:type="spellStart"/>
      <w:r w:rsidR="00780DEE">
        <w:t xml:space="preserve"> 1836-1837:378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507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hastulata</w:t>
      </w:r>
      <w:proofErr w:type="spellEnd"/>
      <w:r>
        <w:t xml:space="preserve"> Sm.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cited; based on cultivated material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seen</w:t>
      </w:r>
      <w:proofErr w:type="spellEnd"/>
      <w:r w:rsidRPr="009A6983">
        <w:rPr>
          <w:b/>
        </w:rPr>
        <w:t xml:space="preserve"> Source:</w:t>
      </w:r>
      <w:r>
        <w:t xml:space="preserve"> Fl. Australia 11A: 507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Courtois (1833).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