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linifolia</w:t>
      </w:r>
      <w:r>
        <w:t xml:space="preserve"> sens. C.T.White</w:t>
      </w:r>
      <w:r w:rsidR="00780DEE" w:rsidRPr="00780DEE">
        <w:rPr>
          <w:i/>
        </w:rPr>
        <w:t xml:space="preserve"> Proc. Roy. Soc. Queensland</w:t>
      </w:r>
      <w:proofErr w:type="spellStart"/>
      <w:r w:rsidR="00780DEE">
        <w:t xml:space="preserve"> 50:73</w:t>
      </w:r>
      <w:proofErr w:type="spellEnd"/>
      <w:r w:rsidR="00780DEE">
        <w:t xml:space="preserve"> (1939)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344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gittinsii</w:t>
      </w:r>
      <w:proofErr w:type="spellEnd"/>
      <w:r>
        <w:t xml:space="preserve"> Pedley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Misapplied as to Qld specimens cited, fide L. Pedley, Austrobaileya 1: 243 (1979).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