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retinodes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gillii</w:t>
      </w:r>
      <w:proofErr w:type="spellEnd"/>
      <w:r>
        <w:t xml:space="preserve"> Maiden</w:t>
      </w:r>
      <w:r w:rsidR="00780DEE" w:rsidRPr="00780DEE">
        <w:rPr>
          <w:i/>
        </w:rPr>
        <w:t xml:space="preserve"> Trans. Proc. &amp; Rep. Roy. Soc. S. Australia</w:t>
      </w:r>
      <w:proofErr w:type="spellStart"/>
      <w:r w:rsidR="00780DEE">
        <w:t xml:space="preserve"> 32:275</w:t>
      </w:r>
      <w:proofErr w:type="spellEnd"/>
      <w:r w:rsidR="00780DEE">
        <w:t xml:space="preserve"> (1908)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Fl. Australia 11A: 278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gillii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Maiden &amp; Blakely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Syntype: Port Lincoln to Marble Range, S.A., Dec. 1897, W. Gill (?NSW)</w:t>
      </w:r>
      <w:proofErr w:type="spellEnd"/>
      <w:r w:rsidRPr="009A6983">
        <w:rPr>
          <w:b/>
        </w:rPr>
        <w:t xml:space="preserve"> Source:</w:t>
      </w:r>
      <w:r>
        <w:t xml:space="preserve"> Fl. Australia 11A: 278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(Acacia pycnantha var. angustifolia Benth. cited in synonymy).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