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oleifolia</w:t>
      </w:r>
      <w:r>
        <w:t xml:space="preserve"> sens.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1:348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339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leucolobia</w:t>
      </w:r>
      <w:proofErr w:type="spellEnd"/>
      <w:r>
        <w:t xml:space="preserve"> Sweet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and Fl. Austral. 2: 373 (1864), pro syn. sub A. lunata.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