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daemon</w:t>
      </w:r>
      <w:r>
        <w:t xml:space="preserve"> Ekman &amp; Urb.</w:t>
      </w:r>
      <w:r w:rsidR="00780DEE" w:rsidRPr="00780DEE">
        <w:rPr>
          <w:i/>
        </w:rPr>
        <w:t xml:space="preserve"> Symb. Antill.</w:t>
      </w:r>
      <w:proofErr w:type="spellStart"/>
      <w:r w:rsidR="00780DEE">
        <w:t xml:space="preserve"> 9:438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Clarke et al. (2009: 96)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daemon</w:t>
      </w:r>
      <w:proofErr w:type="spellEnd"/>
      <w:r>
        <w:t xml:space="preserve"> (Ekman &amp; Urb.)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Holotype. Cuba. Matanzas Province: Ceiba Mocha in cuabales toward Canasí, in very sterile localities, 1 Mar. 1924, E.L. Ekman 18591 (S); isotypes: A, F, G, HAC, ILL - photo of HAC, K, NY, US</w:t>
      </w:r>
      <w:proofErr w:type="spellEnd"/>
      <w:r w:rsidRPr="009A6983">
        <w:rPr>
          <w:b/>
        </w:rPr>
        <w:t xml:space="preserve"> Source:</w:t>
      </w:r>
      <w:r>
        <w:t xml:space="preserve"> Clarke et al. (2009: 96)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