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pentaedra</w:t>
      </w:r>
      <w:r>
        <w:t xml:space="preserve"> Regel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35:417</w:t>
      </w:r>
      <w:proofErr w:type="spellEnd"/>
      <w:r w:rsidR="00780DEE">
        <w:t xml:space="preserve"> (21 July 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Zurich Botanic Garden under the name A. odorata and A. viminea, probably originating from the Swan River, W.A.; n.v.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Regel in Gartenflora 1: 228 t. 24 (Aug. 1852).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