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decora</w:t>
      </w:r>
      <w:proofErr w:type="spellEnd"/>
      <w:r>
        <w:t xml:space="preserve"> (Rchb.) C.Moore &amp; Betche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decora</w:t>
      </w:r>
      <w:r>
        <w:t xml:space="preserve"> Rchb.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