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bidentata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35:298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486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bidentata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bidentata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