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basedowii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viridis</w:t>
      </w:r>
      <w:proofErr w:type="spellEnd"/>
      <w:r>
        <w:t xml:space="preserve"> Blakely</w:t>
      </w:r>
      <w:r w:rsidR="00780DEE" w:rsidRPr="00780DEE">
        <w:rPr>
          <w:i/>
        </w:rPr>
        <w:t xml:space="preserve"> Austral. Naturalist</w:t>
      </w:r>
      <w:proofErr w:type="spellStart"/>
      <w:r w:rsidR="00780DEE">
        <w:t xml:space="preserve"> 11:9</w:t>
      </w:r>
      <w:proofErr w:type="spellEnd"/>
      <w:r w:rsidR="00780DEE">
        <w:t xml:space="preserve"> (1941)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11A: 479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basedowii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Maiden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Standley (sphalm. 'Standly') Chasm, N.T., 17 July 1939, Mrs. B.A. Dale per J. Buckingham s.n. (NSW)</w:t>
      </w:r>
      <w:proofErr w:type="spellEnd"/>
      <w:r w:rsidRPr="009A6983">
        <w:rPr>
          <w:b/>
        </w:rPr>
        <w:t xml:space="preserve"> Source:</w:t>
      </w:r>
      <w:r>
        <w:t xml:space="preserve"> Fl. Australia 11A: 479 (2001)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Originally published as 'basedowi'.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