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cedilloi</w:t>
      </w:r>
      <w:r>
        <w:t xml:space="preserve"> (L.Rico)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Vachellia cedilloi is probably a hybrid of V. cornigera and V. globulifera. [Rico Arce 2007; Ebinger &amp; Seigler 2012].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cedilloi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cedilloi</w:t>
      </w:r>
      <w:r>
        <w:t xml:space="preserve"> L.Rico</w:t>
      </w:r>
      <w:r>
        <w:t xml:space="preserve"> (1994)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cedilloi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26:7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cedilloi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Quintana Roo. km 6.5 de la carretera Vigia Chico-F. Carrillo Puerto, selva mediana subperennifolia, alt. 8 m, 9 Apr. 1986, R. Villanueva 714 (MEXU); isotypes: CIQRO, XAL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cedilloi is probably a hybrid of Vachellia (Acacia) cornigera and V. globulifera [Rico Arce 2007].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