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ciliata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5:465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luteola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neotype, as to upper right-hand specimen on R.Brown '4321' (BM).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