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ignorata</w:t>
      </w:r>
      <w:r>
        <w:t xml:space="preserve"> K.Koch</w:t>
      </w:r>
      <w:r w:rsidR="00780DEE" w:rsidRPr="00780DEE">
        <w:rPr>
          <w:i/>
        </w:rPr>
        <w:t xml:space="preserve"> Allg. Gartenzeitung</w:t>
      </w:r>
      <w:proofErr w:type="spellStart"/>
      <w:r w:rsidR="00780DEE">
        <w:t xml:space="preserve"> 26:195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403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nigricans</w:t>
      </w:r>
      <w:proofErr w:type="spellEnd"/>
      <w:r>
        <w:t xml:space="preserve"> (Labill.) R.Br.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cited; based on a cultivated specimen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