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New South Wales;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