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Australian Capital Territory;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parramattensis</w:t>
      </w:r>
      <w:r>
        <w:t xml:space="preserve"> Tindale</w:t>
      </w:r>
      <w:r>
        <w:t xml:space="preserve"> (1962)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