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Tweed River (B.R. Maslin 8596)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saligna (Tweed River variant)</w:t>
      </w:r>
      <w:r>
        <w:t xml:space="preserve"> ms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saligna</w:t>
      </w:r>
      <w:r w:rsidR="00041308">
        <w:t xml:space="preserve"> subsp.</w:t>
      </w:r>
      <w:r w:rsidR="00041308" w:rsidRPr="00815E7D">
        <w:rPr>
          <w:i/>
        </w:rPr>
        <w:t xml:space="preserve"> pruinescens</w:t>
      </w:r>
      <w:r>
        <w:t xml:space="preserve"> ms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saligna (Tweed River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saligna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pruinescens</w:t>
      </w:r>
      <w:proofErr w:type="spellEnd"/>
      <w:r w:rsidR="00AD1615">
        <w:t xml:space="preserve"> ms</w:t>
      </w:r>
      <w:r>
        <w:t xml:space="preserve"> M.W.McDonald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Tweed River (B.R. Maslin 8596)</w:t>
      </w:r>
      <w:proofErr w:type="spellEnd"/>
      <w:r>
        <w:t xml:space="preserve"> PN</w:t>
      </w:r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