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boormanii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gibba</w:t>
      </w:r>
      <w:proofErr w:type="spellEnd"/>
      <w:r>
        <w:t xml:space="preserve"> K.J.Tucker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37:29-32</w:t>
      </w:r>
      <w:proofErr w:type="spellEnd"/>
      <w:r w:rsidR="00780DEE">
        <w:t xml:space="preserve"> (2018)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"Mt Typo, just south of saddle crossed by vehicular track, 0.8 km N of summit, 22 km SE from Whitfield, 1.ix.2013, K.J. Walsh s.n. (holo: MEL 2385038A; iso: AD, CANB, NSW)"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boormanii</w:t>
      </w:r>
      <w:r w:rsidR="00041308">
        <w:t xml:space="preserve"> var.</w:t>
      </w:r>
      <w:r w:rsidR="00041308" w:rsidRPr="00815E7D">
        <w:rPr>
          <w:i/>
        </w:rPr>
        <w:t xml:space="preserve"> Mt Typo (F.E. Bienvenu 11)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boormanii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Mt Typo (F.E. Bienvenu 11)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Tucker et al. (2018)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boormanii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gibba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