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22(4):221-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"48 km south of Kumarina Roadhouse on Great Northern Highway to Meekatharra, Western Australia, 18 October 2007, B.R. Maslin, J. Miller &amp; J.E. Reid BRM 9274 (holo: PERTH 07796323)."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macrocarpa</w:t>
      </w:r>
      <w:r>
        <w:t xml:space="preserve"> Randell</w:t>
      </w:r>
      <w:r>
        <w:t xml:space="preserve"> (1992)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macrocarpum</w:t>
      </w:r>
      <w:r>
        <w:t xml:space="preserve"> (Randell)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Rudall River area, Western Australia, 3 September 1971, B.R. Maslin 2084 (PERTH 00615838); isotypes: BRI, CANB, K, MEL, NSW</w:t>
      </w:r>
      <w:proofErr w:type="spellEnd"/>
      <w:r w:rsidRPr="009A6983">
        <w:rPr>
          <w:b/>
        </w:rPr>
        <w:t xml:space="preserve"> Source:</w:t>
      </w:r>
      <w:r>
        <w:t xml:space="preserve"> Maslin &amp; Reid (2012: 222)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macrocarpum</w:t>
      </w:r>
      <w:proofErr w:type="spellEnd"/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macrocarpa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