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tetanophylla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2:157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triptycha</w:t>
      </w:r>
      <w:r>
        <w:t xml:space="preserve"> var.</w:t>
      </w:r>
      <w:r w:rsidRPr="00815E7D">
        <w:rPr>
          <w:i/>
        </w:rPr>
        <w:t xml:space="preserve"> pungens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triptycha</w:t>
      </w:r>
      <w:r w:rsidR="00041308">
        <w:t xml:space="preserve"> var.</w:t>
      </w:r>
      <w:r w:rsidR="00041308" w:rsidRPr="00815E7D">
        <w:rPr>
          <w:i/>
        </w:rPr>
        <w:t xml:space="preserve"> pungens</w:t>
      </w:r>
      <w:r>
        <w:t xml:space="preserve"> E.Pritz.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tetanophyllum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tetanophylla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157, 1977): Kalgan River, W.A., 4 Oct. 1901, L. Diels 4596 (PERTH, fragment ex B)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tetanophyllum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tetanophylla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tetanophylla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