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subcaerulea</w:t>
      </w:r>
      <w:r>
        <w:t xml:space="preserve">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13: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cultivated, hort. bot. Comtesse de Vandes, 5 June 1826 (CGE)</w:t>
      </w:r>
      <w:proofErr w:type="spellEnd"/>
      <w:r w:rsidRPr="009A6983">
        <w:rPr>
          <w:b/>
        </w:rPr>
        <w:t xml:space="preserve"> Source:</w:t>
      </w:r>
      <w:r>
        <w:t xml:space="preserve"> Fl. Australia 11A: 360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subcaerulea</w:t>
      </w:r>
      <w:r w:rsidR="00041308">
        <w:t xml:space="preserve"> var.</w:t>
      </w:r>
      <w:r w:rsidR="00041308" w:rsidRPr="00815E7D">
        <w:rPr>
          <w:i/>
        </w:rPr>
        <w:t xml:space="preserve"> subcaerulea</w:t>
      </w:r>
      <w:r>
        <w:t xml:space="preserve"> Lindl.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subcaeruleum</w:t>
      </w:r>
      <w:r>
        <w:t xml:space="preserve"> (Lindl.)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subcaerulea</w:t>
      </w:r>
      <w:r>
        <w:t xml:space="preserve"> F.Cels</w:t>
      </w:r>
      <w:r>
        <w:t xml:space="preserve"> (1836)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subcaerulescens</w:t>
      </w:r>
      <w:r>
        <w:t xml:space="preserve"> Jacques</w:t>
      </w:r>
      <w:r>
        <w:t xml:space="preserve"> (1837-1838)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apiculata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subcaerulea</w:t>
      </w:r>
      <w:r w:rsidR="00041308">
        <w:t xml:space="preserve"> var.</w:t>
      </w:r>
      <w:r w:rsidR="00041308" w:rsidRPr="00815E7D">
        <w:rPr>
          <w:i/>
        </w:rPr>
        <w:t xml:space="preserve"> parvifolia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subcaerulea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subcaerulea</w:t>
      </w:r>
      <w:proofErr w:type="spellEnd"/>
      <w:r>
        <w:t xml:space="preserve">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subcaerulea var. parvifolia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subcaeruleum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subcaerulea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subcaerulea</w:t>
      </w:r>
      <w:r>
        <w:t xml:space="preserve"> F.Cels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1836-1837:93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360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 cultivated plant, raised by Cels from cuttings purchased as 'A. subcaerulea' from England (n.v.). Note: Cels was apparently unaware that Lindley had published A. subcaerulea in 1827; while it is probable that Cels' description applies to Lindley's taxon, it is difficult to be certain in the absence of the type.</w:t>
      </w:r>
      <w:proofErr w:type="spellEnd"/>
      <w:r w:rsidRPr="009A6983">
        <w:rPr>
          <w:b/>
        </w:rPr>
        <w:t xml:space="preserve"> Source:</w:t>
      </w:r>
      <w:r>
        <w:t xml:space="preserve"> Fl. Australia 11A: 360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Lindl.  Cels was apparently unaware that Lindley had published A. subcaerulea in 1827; while it is probable that Cels' description applies to Lindley's taxon, it is difficult to be certain in the absence of having seen the 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subcaerulescens</w:t>
      </w:r>
      <w:r>
        <w:t xml:space="preserve"> Jacques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1837-1838:41</w:t>
      </w:r>
      <w:proofErr w:type="spellEnd"/>
      <w:r w:rsidR="00780DEE">
        <w:t xml:space="preserve"> (1837-1838)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orthographic variant of Acacia subcaerulea F.Cels.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apiculata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1:17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 .Cowan, Nuytsia 9: 402, 1994): Cape Riche, W.A., 20 Nov. 1840, L. Preiss 919 (LD); isolectotypes: G, NY.</w:t>
      </w:r>
      <w:proofErr w:type="spellEnd"/>
      <w:r w:rsidRPr="009A6983">
        <w:rPr>
          <w:b/>
        </w:rPr>
        <w:t xml:space="preserve"> Source:</w:t>
      </w:r>
      <w:r>
        <w:t xml:space="preserve"> Fl. Australia 11A: 360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subcaerulea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near Cape Riche, W.A., Mar. 1854, W.H. Harvey s.n. (K). (2) 'Norabup' W.A., A. Oldfield s.n. (K)</w:t>
      </w:r>
      <w:proofErr w:type="spellEnd"/>
      <w:r w:rsidRPr="009A6983">
        <w:rPr>
          <w:b/>
        </w:rPr>
        <w:t xml:space="preserve"> Source:</w:t>
      </w:r>
      <w:r>
        <w:t xml:space="preserve"> Fl. Australia 11A: 360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