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sericocarpa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392 (1994)): Cunderdin, Nov. 1903, W.V. Fitzgerald s.n. (PERTH00771589, right-hand fruiting specimen on sheet); isolectotype: NSW. Remaining syntype: Cunderdin, Aug. 1903, W.V. Fitzgerald s.n. (NSW, PERTH00771589 - left-hand flowering specimen &amp; 00771562)</w:t>
      </w:r>
      <w:proofErr w:type="spellEnd"/>
      <w:r w:rsidRPr="009A6983">
        <w:rPr>
          <w:b/>
        </w:rPr>
        <w:t xml:space="preserve"> Source:</w:t>
      </w:r>
      <w:r>
        <w:t xml:space="preserve"> Fl. Australia 11A: 581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sericocarpum</w:t>
      </w:r>
      <w:r>
        <w:t xml:space="preserve"> (W.Fitzg.)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merrallii</w:t>
      </w:r>
      <w:r w:rsidR="00041308">
        <w:t xml:space="preserve"> var.</w:t>
      </w:r>
      <w:r w:rsidR="00041308" w:rsidRPr="00815E7D">
        <w:rPr>
          <w:i/>
        </w:rPr>
        <w:t xml:space="preserve"> tamminensis</w:t>
      </w:r>
      <w:r>
        <w:t xml:space="preserve">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sericocarpum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sericocarpa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sericocarpa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merrallii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tamminensis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